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1A5EEF" w14:textId="39A93719" w:rsidR="00A24B95" w:rsidRPr="00A01DEE" w:rsidRDefault="004702E8" w:rsidP="00A24B95">
      <w:pPr>
        <w:pStyle w:val="CRCoverPage"/>
        <w:tabs>
          <w:tab w:val="right" w:pos="9639"/>
        </w:tabs>
        <w:spacing w:after="0"/>
        <w:rPr>
          <w:b/>
          <w:noProof/>
          <w:sz w:val="24"/>
          <w:szCs w:val="24"/>
          <w:lang w:eastAsia="ko-KR"/>
        </w:rPr>
      </w:pPr>
      <w:bookmarkStart w:id="0" w:name="OLE_LINK2"/>
      <w:bookmarkStart w:id="1" w:name="OLE_LINK1"/>
      <w:r w:rsidRPr="004702E8">
        <w:rPr>
          <w:b/>
          <w:sz w:val="24"/>
          <w:szCs w:val="24"/>
        </w:rPr>
        <w:t>3GPP TSG RAN WG1 #102-e</w:t>
      </w:r>
      <w:r w:rsidR="00A24B95" w:rsidRPr="006E473F">
        <w:rPr>
          <w:rFonts w:hint="eastAsia"/>
          <w:b/>
          <w:sz w:val="24"/>
          <w:szCs w:val="24"/>
          <w:lang w:eastAsia="ko-KR"/>
        </w:rPr>
        <w:tab/>
      </w:r>
      <w:r w:rsidR="0044665A" w:rsidRPr="0044665A">
        <w:rPr>
          <w:b/>
          <w:sz w:val="24"/>
          <w:szCs w:val="24"/>
          <w:lang w:eastAsia="ko-KR"/>
        </w:rPr>
        <w:t>R1-2006144</w:t>
      </w:r>
    </w:p>
    <w:bookmarkEnd w:id="0"/>
    <w:p w14:paraId="40B8ECFD" w14:textId="048E69CF" w:rsidR="007A57E2" w:rsidRPr="001F2CD1" w:rsidRDefault="00E17817" w:rsidP="00A24B95">
      <w:pPr>
        <w:pStyle w:val="Header"/>
        <w:spacing w:after="240"/>
        <w:rPr>
          <w:rFonts w:eastAsia="Malgun Gothic"/>
          <w:noProof w:val="0"/>
          <w:color w:val="000000"/>
          <w:sz w:val="24"/>
          <w:szCs w:val="24"/>
          <w:lang w:val="en-US" w:eastAsia="ko-KR"/>
        </w:rPr>
      </w:pPr>
      <w:r w:rsidRPr="00E17817">
        <w:rPr>
          <w:rFonts w:cs="Arial"/>
          <w:bCs/>
          <w:sz w:val="24"/>
          <w:szCs w:val="24"/>
          <w:lang w:eastAsia="ja-JP"/>
        </w:rPr>
        <w:t>e-Meeting, August 17th – 28th, 2020</w:t>
      </w:r>
    </w:p>
    <w:p w14:paraId="11686A8C"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77777777"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702E8" w:rsidRPr="004702E8">
        <w:rPr>
          <w:rFonts w:ascii="Arial" w:eastAsia="Malgun Gothic" w:hAnsi="Arial"/>
          <w:color w:val="000000"/>
          <w:sz w:val="24"/>
        </w:rPr>
        <w:t>On Timing relationship enhancements</w:t>
      </w:r>
    </w:p>
    <w:p w14:paraId="76E9111D"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664284C3"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20EC172A" w14:textId="77777777" w:rsidR="00D94F4C" w:rsidRPr="001D75BE" w:rsidRDefault="008D2346" w:rsidP="00D94F4C">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A new work item on “</w:t>
      </w:r>
      <w:r w:rsidR="00D94F4C" w:rsidRPr="001D75BE">
        <w:rPr>
          <w:rFonts w:eastAsia="Malgun Gothic"/>
          <w:color w:val="000000"/>
          <w:sz w:val="22"/>
          <w:szCs w:val="22"/>
        </w:rPr>
        <w:t>Solutions for NR to support non-terrestrial networks (NTN)</w:t>
      </w:r>
      <w:r w:rsidRPr="001D75BE">
        <w:rPr>
          <w:rFonts w:eastAsia="Malgun Gothic"/>
          <w:color w:val="000000"/>
          <w:sz w:val="22"/>
          <w:szCs w:val="22"/>
        </w:rPr>
        <w:t>” was approved in RAN#8</w:t>
      </w:r>
      <w:r w:rsidR="00D94F4C" w:rsidRPr="001D75BE">
        <w:rPr>
          <w:rFonts w:eastAsia="Malgun Gothic"/>
          <w:color w:val="000000"/>
          <w:sz w:val="22"/>
          <w:szCs w:val="22"/>
        </w:rPr>
        <w:t>6</w:t>
      </w:r>
      <w:r w:rsidRPr="001D75BE">
        <w:rPr>
          <w:rFonts w:eastAsia="Malgun Gothic"/>
          <w:color w:val="000000"/>
          <w:sz w:val="22"/>
          <w:szCs w:val="22"/>
        </w:rPr>
        <w:t xml:space="preserve"> and </w:t>
      </w:r>
      <w:r w:rsidR="00D94F4C" w:rsidRPr="001D75BE">
        <w:rPr>
          <w:rFonts w:eastAsia="Malgun Gothic"/>
          <w:color w:val="000000"/>
          <w:sz w:val="22"/>
          <w:szCs w:val="22"/>
        </w:rPr>
        <w:t>objectives of the work item are as follows</w:t>
      </w:r>
      <w:r w:rsidR="009139F9" w:rsidRPr="001D75BE">
        <w:rPr>
          <w:rFonts w:eastAsia="Malgun Gothic"/>
          <w:color w:val="000000"/>
          <w:sz w:val="22"/>
          <w:szCs w:val="22"/>
        </w:rPr>
        <w:t xml:space="preserve"> [</w:t>
      </w:r>
      <w:r w:rsidR="001F2CD1" w:rsidRPr="001D75BE">
        <w:rPr>
          <w:rFonts w:eastAsia="Malgun Gothic"/>
          <w:color w:val="000000"/>
          <w:sz w:val="22"/>
          <w:szCs w:val="22"/>
        </w:rPr>
        <w:t>1</w:t>
      </w:r>
      <w:r w:rsidR="009139F9" w:rsidRPr="001D75BE">
        <w:rPr>
          <w:rFonts w:eastAsia="Malgun Gothic"/>
          <w:color w:val="000000"/>
          <w:sz w:val="22"/>
          <w:szCs w:val="22"/>
        </w:rPr>
        <w:t>]</w:t>
      </w:r>
      <w:r w:rsidR="00D94F4C" w:rsidRPr="001D75BE">
        <w:rPr>
          <w:rFonts w:eastAsia="Malgun Gothic"/>
          <w:color w:val="000000"/>
          <w:sz w:val="22"/>
          <w:szCs w:val="22"/>
        </w:rPr>
        <w:t>,</w:t>
      </w:r>
    </w:p>
    <w:p w14:paraId="1C41766F" w14:textId="77777777" w:rsidR="00D94F4C" w:rsidRPr="001D75BE" w:rsidRDefault="00D94F4C" w:rsidP="00D94F4C">
      <w:pPr>
        <w:rPr>
          <w:sz w:val="22"/>
          <w:szCs w:val="22"/>
        </w:rPr>
      </w:pPr>
    </w:p>
    <w:p w14:paraId="16694171" w14:textId="77777777" w:rsidR="00D94F4C" w:rsidRPr="001D75BE" w:rsidRDefault="00D94F4C" w:rsidP="00D94F4C">
      <w:pPr>
        <w:rPr>
          <w:sz w:val="22"/>
          <w:szCs w:val="22"/>
          <w:lang w:eastAsia="ja-JP"/>
        </w:rPr>
      </w:pPr>
      <w:r w:rsidRPr="001D75BE">
        <w:rPr>
          <w:sz w:val="22"/>
          <w:szCs w:val="22"/>
        </w:rPr>
        <w:t>Enhancing features to address the identified issues due to long propagation delays, large Doppler effects, and moving cells in NTN,</w:t>
      </w:r>
      <w:r w:rsidRPr="001D75BE">
        <w:rPr>
          <w:sz w:val="22"/>
          <w:szCs w:val="22"/>
          <w:lang w:eastAsia="ja-JP"/>
        </w:rPr>
        <w:t xml:space="preserve"> the following should be specified (see TR 38.821):</w:t>
      </w:r>
    </w:p>
    <w:p w14:paraId="5F00399B"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Timing relationship enhancements[RAN1,RAN2]</w:t>
      </w:r>
    </w:p>
    <w:p w14:paraId="26AED9EF"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Enhancements on UL time and frequency synchronization [RAN1,RAN2]</w:t>
      </w:r>
    </w:p>
    <w:p w14:paraId="1CEB6B83"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HARQ</w:t>
      </w:r>
    </w:p>
    <w:p w14:paraId="0E883139"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Number of HARQ process [RAN1]</w:t>
      </w:r>
    </w:p>
    <w:p w14:paraId="19D506C4"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 xml:space="preserve">Enabling / disabling of HARQ feedback as described in the TR 38.821 </w:t>
      </w:r>
      <w:r w:rsidRPr="001D75BE">
        <w:rPr>
          <w:rFonts w:hint="eastAsia"/>
          <w:sz w:val="22"/>
          <w:szCs w:val="22"/>
        </w:rPr>
        <w:t>[</w:t>
      </w:r>
      <w:r w:rsidRPr="001D75BE">
        <w:rPr>
          <w:sz w:val="22"/>
          <w:szCs w:val="22"/>
        </w:rPr>
        <w:t>RAN1&amp;2</w:t>
      </w:r>
      <w:r w:rsidRPr="001D75BE">
        <w:rPr>
          <w:rFonts w:hint="eastAsia"/>
          <w:sz w:val="22"/>
          <w:szCs w:val="22"/>
        </w:rPr>
        <w:t>]</w:t>
      </w:r>
    </w:p>
    <w:p w14:paraId="1C714361" w14:textId="77777777" w:rsidR="00D94F4C" w:rsidRPr="001D75BE" w:rsidRDefault="00D94F4C" w:rsidP="00D94F4C">
      <w:pPr>
        <w:rPr>
          <w:sz w:val="22"/>
          <w:szCs w:val="22"/>
        </w:rPr>
      </w:pPr>
    </w:p>
    <w:p w14:paraId="4032A03A" w14:textId="77777777" w:rsidR="00D94F4C" w:rsidRPr="001D75BE" w:rsidRDefault="00D94F4C" w:rsidP="00D94F4C">
      <w:pPr>
        <w:rPr>
          <w:sz w:val="22"/>
          <w:szCs w:val="22"/>
        </w:rPr>
      </w:pPr>
      <w:r w:rsidRPr="001D75BE">
        <w:rPr>
          <w:sz w:val="22"/>
          <w:szCs w:val="22"/>
        </w:rPr>
        <w:t>In addition, the following topics should be specified if beneficial and needed</w:t>
      </w:r>
    </w:p>
    <w:p w14:paraId="7139AF8D"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 on the PRACH sequence and/or format and extension of the ra-ResponseWindow duration (in the case of UE with GNSS capability but without pre-compensation of timing and frequency offset capabilities) [RAN1/2]</w:t>
      </w:r>
      <w:r w:rsidRPr="001D75BE">
        <w:rPr>
          <w:rFonts w:eastAsia="PMingLiU"/>
          <w:sz w:val="22"/>
          <w:szCs w:val="22"/>
          <w:lang w:eastAsia="zh-TW"/>
        </w:rPr>
        <w:t>.</w:t>
      </w:r>
    </w:p>
    <w:p w14:paraId="4D10B64C"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Feeder link switch [RAN2,RAN1]</w:t>
      </w:r>
    </w:p>
    <w:p w14:paraId="152E680A"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Beam management and Bandwidth Parts (BWP) operation for NTN with frequency reuse [RAN1/2]</w:t>
      </w:r>
    </w:p>
    <w:p w14:paraId="305A06B9" w14:textId="77777777" w:rsidR="00D94F4C" w:rsidRPr="001D75BE" w:rsidRDefault="00D94F4C" w:rsidP="00D94F4C">
      <w:pPr>
        <w:widowControl/>
        <w:numPr>
          <w:ilvl w:val="1"/>
          <w:numId w:val="38"/>
        </w:numPr>
        <w:wordWrap/>
        <w:overflowPunct w:val="0"/>
        <w:adjustRightInd w:val="0"/>
        <w:textAlignment w:val="baseline"/>
        <w:rPr>
          <w:rFonts w:eastAsia="PMingLiU"/>
          <w:sz w:val="22"/>
          <w:szCs w:val="22"/>
          <w:lang w:eastAsia="zh-TW"/>
        </w:rPr>
      </w:pPr>
      <w:r w:rsidRPr="001D75BE">
        <w:rPr>
          <w:rFonts w:eastAsia="PMingLiU"/>
          <w:sz w:val="22"/>
          <w:szCs w:val="22"/>
          <w:lang w:eastAsia="zh-TW"/>
        </w:rPr>
        <w:t>Including signalling of polarization mode</w:t>
      </w:r>
    </w:p>
    <w:p w14:paraId="08C0BECD" w14:textId="538F3CC1" w:rsidR="00BA5E1B" w:rsidRPr="001D75BE" w:rsidRDefault="00BA5E1B" w:rsidP="006613B5">
      <w:pPr>
        <w:wordWrap/>
        <w:spacing w:before="240" w:after="60" w:line="288" w:lineRule="auto"/>
        <w:ind w:firstLine="284"/>
        <w:jc w:val="both"/>
        <w:rPr>
          <w:rFonts w:eastAsia="Batang"/>
          <w:color w:val="000000"/>
          <w:sz w:val="22"/>
          <w:szCs w:val="22"/>
        </w:rPr>
      </w:pPr>
      <w:r w:rsidRPr="001D75BE">
        <w:rPr>
          <w:rFonts w:eastAsia="Malgun Gothic"/>
          <w:color w:val="000000"/>
          <w:sz w:val="22"/>
          <w:szCs w:val="22"/>
        </w:rPr>
        <w:t xml:space="preserve">In this contribution, we discuss the </w:t>
      </w:r>
      <w:r w:rsidR="000A4EBF">
        <w:rPr>
          <w:rFonts w:eastAsia="Malgun Gothic"/>
          <w:color w:val="000000"/>
          <w:sz w:val="22"/>
          <w:szCs w:val="22"/>
        </w:rPr>
        <w:t>timing relationship</w:t>
      </w:r>
      <w:r w:rsidR="00D94F4C" w:rsidRPr="001D75BE">
        <w:rPr>
          <w:rFonts w:eastAsia="Malgun Gothic"/>
          <w:color w:val="000000"/>
          <w:sz w:val="22"/>
          <w:szCs w:val="22"/>
        </w:rPr>
        <w:t xml:space="preserve"> </w:t>
      </w:r>
      <w:r w:rsidR="000A4EBF">
        <w:rPr>
          <w:rFonts w:eastAsia="Malgun Gothic"/>
          <w:color w:val="000000"/>
          <w:sz w:val="22"/>
          <w:szCs w:val="22"/>
        </w:rPr>
        <w:t xml:space="preserve">enhancements </w:t>
      </w:r>
      <w:r w:rsidR="00D94F4C" w:rsidRPr="001D75BE">
        <w:rPr>
          <w:rFonts w:eastAsia="Malgun Gothic"/>
          <w:color w:val="000000"/>
          <w:sz w:val="22"/>
          <w:szCs w:val="22"/>
        </w:rPr>
        <w:t>for NTN</w:t>
      </w:r>
      <w:r w:rsidRPr="001D75BE">
        <w:rPr>
          <w:rFonts w:eastAsia="Malgun Gothic"/>
          <w:color w:val="000000"/>
          <w:sz w:val="22"/>
          <w:szCs w:val="22"/>
        </w:rPr>
        <w:t>.</w:t>
      </w:r>
    </w:p>
    <w:p w14:paraId="65647EE9" w14:textId="77777777" w:rsidR="00545384" w:rsidRDefault="004702E8" w:rsidP="00D94F4C">
      <w:pPr>
        <w:pStyle w:val="Heading1"/>
      </w:pPr>
      <w:r>
        <w:t>K</w:t>
      </w:r>
      <w:r w:rsidRPr="004702E8">
        <w:rPr>
          <w:vertAlign w:val="subscript"/>
        </w:rPr>
        <w:t>offset</w:t>
      </w:r>
      <w:r>
        <w:t xml:space="preserve"> for various procedure</w:t>
      </w:r>
    </w:p>
    <w:p w14:paraId="5B659293"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62B4FAC0"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5404806D"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4BBFA5EC"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124D1DC9" w14:textId="77777777" w:rsidR="008F78CB" w:rsidRPr="008F78CB" w:rsidRDefault="008F78CB" w:rsidP="008F78CB">
      <w:pPr>
        <w:wordWrap/>
        <w:spacing w:before="60" w:after="60" w:line="288" w:lineRule="auto"/>
        <w:ind w:firstLine="284"/>
        <w:jc w:val="both"/>
        <w:rPr>
          <w:sz w:val="22"/>
          <w:szCs w:val="22"/>
        </w:rPr>
      </w:pPr>
      <w:r>
        <w:rPr>
          <w:sz w:val="22"/>
          <w:szCs w:val="22"/>
        </w:rPr>
        <w:t xml:space="preserve">In the SI stage, it has been agreed that </w:t>
      </w:r>
      <w:r w:rsidRPr="008F78CB">
        <w:rPr>
          <w:sz w:val="22"/>
          <w:szCs w:val="22"/>
        </w:rPr>
        <w:t>K</w:t>
      </w:r>
      <w:r w:rsidRPr="008F78CB">
        <w:rPr>
          <w:sz w:val="22"/>
          <w:szCs w:val="22"/>
          <w:vertAlign w:val="subscript"/>
        </w:rPr>
        <w:t>offset</w:t>
      </w:r>
      <w:r w:rsidRPr="008F78CB">
        <w:rPr>
          <w:sz w:val="22"/>
          <w:szCs w:val="22"/>
        </w:rPr>
        <w:t xml:space="preserve"> </w:t>
      </w:r>
      <w:r>
        <w:rPr>
          <w:sz w:val="22"/>
          <w:szCs w:val="22"/>
        </w:rPr>
        <w:t xml:space="preserve">will be introduced </w:t>
      </w:r>
      <w:r w:rsidRPr="008F78CB">
        <w:rPr>
          <w:sz w:val="22"/>
          <w:szCs w:val="22"/>
        </w:rPr>
        <w:t>for t</w:t>
      </w:r>
      <w:r>
        <w:rPr>
          <w:sz w:val="22"/>
          <w:szCs w:val="22"/>
        </w:rPr>
        <w:t>he following various procedures due to the long propagation delay</w:t>
      </w:r>
    </w:p>
    <w:p w14:paraId="337C73B3" w14:textId="77777777" w:rsidR="008F78CB" w:rsidRPr="008F78CB" w:rsidRDefault="008F78CB" w:rsidP="008F78CB">
      <w:pPr>
        <w:pStyle w:val="ListParagraph"/>
        <w:numPr>
          <w:ilvl w:val="0"/>
          <w:numId w:val="39"/>
        </w:numPr>
        <w:spacing w:before="60" w:after="60" w:line="288" w:lineRule="auto"/>
        <w:jc w:val="both"/>
        <w:rPr>
          <w:sz w:val="22"/>
          <w:szCs w:val="22"/>
        </w:rPr>
      </w:pPr>
      <w:r w:rsidRPr="008F78CB">
        <w:rPr>
          <w:sz w:val="22"/>
          <w:szCs w:val="22"/>
        </w:rPr>
        <w:t>For the transmission timing of DCI scheduled PUSCH (including CSI on PUSCH);</w:t>
      </w:r>
    </w:p>
    <w:p w14:paraId="486F5F09" w14:textId="77777777" w:rsidR="008F78CB" w:rsidRPr="008F78CB" w:rsidRDefault="008F78CB" w:rsidP="008F78CB">
      <w:pPr>
        <w:pStyle w:val="ListParagraph"/>
        <w:numPr>
          <w:ilvl w:val="0"/>
          <w:numId w:val="39"/>
        </w:numPr>
        <w:spacing w:before="60" w:after="60" w:line="288" w:lineRule="auto"/>
        <w:jc w:val="both"/>
        <w:rPr>
          <w:sz w:val="22"/>
          <w:szCs w:val="22"/>
        </w:rPr>
      </w:pPr>
      <w:r w:rsidRPr="008F78CB">
        <w:rPr>
          <w:sz w:val="22"/>
          <w:szCs w:val="22"/>
        </w:rPr>
        <w:t>For the transmission timing of RAR grant scheduled PUSCH;</w:t>
      </w:r>
    </w:p>
    <w:p w14:paraId="739DC145" w14:textId="77777777" w:rsidR="008F78CB" w:rsidRPr="008F78CB" w:rsidRDefault="008F78CB" w:rsidP="008F78CB">
      <w:pPr>
        <w:pStyle w:val="ListParagraph"/>
        <w:numPr>
          <w:ilvl w:val="0"/>
          <w:numId w:val="39"/>
        </w:numPr>
        <w:spacing w:before="60" w:after="60" w:line="288" w:lineRule="auto"/>
        <w:jc w:val="both"/>
        <w:rPr>
          <w:sz w:val="22"/>
          <w:szCs w:val="22"/>
        </w:rPr>
      </w:pPr>
      <w:r w:rsidRPr="008F78CB">
        <w:rPr>
          <w:sz w:val="22"/>
          <w:szCs w:val="22"/>
        </w:rPr>
        <w:t>For the transmission timing of HARQ-ACK on PUCCH;</w:t>
      </w:r>
    </w:p>
    <w:p w14:paraId="060C6E94" w14:textId="77777777" w:rsidR="008F78CB" w:rsidRPr="008F78CB" w:rsidRDefault="008F78CB" w:rsidP="008F78CB">
      <w:pPr>
        <w:pStyle w:val="ListParagraph"/>
        <w:numPr>
          <w:ilvl w:val="0"/>
          <w:numId w:val="39"/>
        </w:numPr>
        <w:spacing w:before="60" w:after="60" w:line="288" w:lineRule="auto"/>
        <w:jc w:val="both"/>
        <w:rPr>
          <w:sz w:val="22"/>
          <w:szCs w:val="22"/>
        </w:rPr>
      </w:pPr>
      <w:r w:rsidRPr="008F78CB">
        <w:rPr>
          <w:sz w:val="22"/>
          <w:szCs w:val="22"/>
        </w:rPr>
        <w:t>For the MAC CE action timing;</w:t>
      </w:r>
    </w:p>
    <w:p w14:paraId="25FAD6A5" w14:textId="77777777" w:rsidR="008F78CB" w:rsidRPr="008F78CB" w:rsidRDefault="008F78CB" w:rsidP="008F78CB">
      <w:pPr>
        <w:pStyle w:val="ListParagraph"/>
        <w:numPr>
          <w:ilvl w:val="0"/>
          <w:numId w:val="39"/>
        </w:numPr>
        <w:spacing w:before="60" w:after="60" w:line="288" w:lineRule="auto"/>
        <w:jc w:val="both"/>
        <w:rPr>
          <w:sz w:val="22"/>
          <w:szCs w:val="22"/>
        </w:rPr>
      </w:pPr>
      <w:r w:rsidRPr="008F78CB">
        <w:rPr>
          <w:sz w:val="22"/>
          <w:szCs w:val="22"/>
        </w:rPr>
        <w:t>For the CSI reference resource timing;</w:t>
      </w:r>
    </w:p>
    <w:p w14:paraId="2309383B" w14:textId="77777777" w:rsidR="009F723E" w:rsidRDefault="008F78CB" w:rsidP="008F78CB">
      <w:pPr>
        <w:pStyle w:val="ListParagraph"/>
        <w:numPr>
          <w:ilvl w:val="0"/>
          <w:numId w:val="39"/>
        </w:numPr>
        <w:spacing w:before="60" w:after="60" w:line="288" w:lineRule="auto"/>
        <w:jc w:val="both"/>
        <w:rPr>
          <w:sz w:val="22"/>
          <w:szCs w:val="22"/>
        </w:rPr>
      </w:pPr>
      <w:r w:rsidRPr="008F78CB">
        <w:rPr>
          <w:sz w:val="22"/>
          <w:szCs w:val="22"/>
        </w:rPr>
        <w:t>For the trans</w:t>
      </w:r>
      <w:r>
        <w:rPr>
          <w:sz w:val="22"/>
          <w:szCs w:val="22"/>
        </w:rPr>
        <w:t>mission timing of aperiodic SRS.</w:t>
      </w:r>
    </w:p>
    <w:p w14:paraId="30713F5D" w14:textId="78D08148" w:rsidR="008F78CB" w:rsidRDefault="00F30835" w:rsidP="008F78CB">
      <w:pPr>
        <w:wordWrap/>
        <w:spacing w:before="60" w:after="60" w:line="288" w:lineRule="auto"/>
        <w:jc w:val="both"/>
        <w:rPr>
          <w:sz w:val="22"/>
          <w:szCs w:val="22"/>
        </w:rPr>
      </w:pPr>
      <w:r w:rsidRPr="001D75BE">
        <w:rPr>
          <w:sz w:val="22"/>
          <w:szCs w:val="22"/>
        </w:rPr>
        <w:tab/>
      </w:r>
      <w:r w:rsidR="008F78CB">
        <w:rPr>
          <w:sz w:val="22"/>
          <w:szCs w:val="22"/>
        </w:rPr>
        <w:t>The range of K</w:t>
      </w:r>
      <w:r w:rsidR="008F78CB" w:rsidRPr="008F78CB">
        <w:rPr>
          <w:sz w:val="22"/>
          <w:szCs w:val="22"/>
          <w:vertAlign w:val="subscript"/>
        </w:rPr>
        <w:t>offset</w:t>
      </w:r>
      <w:r w:rsidR="008F78CB">
        <w:rPr>
          <w:sz w:val="22"/>
          <w:szCs w:val="22"/>
        </w:rPr>
        <w:t xml:space="preserve"> should depend on the maximum round trip propagation delay T</w:t>
      </w:r>
      <w:r w:rsidR="008F78CB" w:rsidRPr="008F78CB">
        <w:rPr>
          <w:sz w:val="22"/>
          <w:szCs w:val="22"/>
          <w:vertAlign w:val="subscript"/>
        </w:rPr>
        <w:t>rt</w:t>
      </w:r>
      <w:r w:rsidR="008F78CB">
        <w:rPr>
          <w:sz w:val="22"/>
          <w:szCs w:val="22"/>
        </w:rPr>
        <w:t xml:space="preserve">. Considering the </w:t>
      </w:r>
      <w:r w:rsidR="008F78CB">
        <w:rPr>
          <w:sz w:val="22"/>
          <w:szCs w:val="22"/>
        </w:rPr>
        <w:lastRenderedPageBreak/>
        <w:t xml:space="preserve">possibility that there might be multiple hops </w:t>
      </w:r>
      <w:r w:rsidR="00581405">
        <w:rPr>
          <w:sz w:val="22"/>
          <w:szCs w:val="22"/>
        </w:rPr>
        <w:t xml:space="preserve">between satellites </w:t>
      </w:r>
      <w:bookmarkStart w:id="4" w:name="_GoBack"/>
      <w:bookmarkEnd w:id="4"/>
      <w:r w:rsidR="008F78CB">
        <w:rPr>
          <w:sz w:val="22"/>
          <w:szCs w:val="22"/>
        </w:rPr>
        <w:t>and assuming the maximum hop number is L, we have</w:t>
      </w:r>
    </w:p>
    <w:p w14:paraId="0398AA28" w14:textId="77777777" w:rsidR="008F78CB" w:rsidRPr="001D75BE" w:rsidRDefault="008F78CB" w:rsidP="00203D79">
      <w:pPr>
        <w:wordWrap/>
        <w:spacing w:before="60" w:after="60" w:line="288" w:lineRule="auto"/>
        <w:jc w:val="center"/>
        <w:rPr>
          <w:sz w:val="22"/>
          <w:szCs w:val="22"/>
        </w:rPr>
      </w:pPr>
      <w:r>
        <w:rPr>
          <w:sz w:val="22"/>
          <w:szCs w:val="22"/>
        </w:rPr>
        <w:t>Koffset</w:t>
      </w:r>
      <w:r w:rsidR="00203D79">
        <w:rPr>
          <w:sz w:val="22"/>
          <w:szCs w:val="22"/>
        </w:rPr>
        <w:t xml:space="preserve"> ≥ L×T</w:t>
      </w:r>
      <w:r w:rsidR="00203D79" w:rsidRPr="00203D79">
        <w:rPr>
          <w:sz w:val="22"/>
          <w:szCs w:val="22"/>
          <w:vertAlign w:val="subscript"/>
        </w:rPr>
        <w:t>rt</w:t>
      </w:r>
    </w:p>
    <w:p w14:paraId="12C46C11" w14:textId="77777777" w:rsidR="00073E60" w:rsidRPr="001D75BE" w:rsidRDefault="00203D79" w:rsidP="00203D79">
      <w:pPr>
        <w:wordWrap/>
        <w:spacing w:before="60" w:after="60" w:line="288" w:lineRule="auto"/>
        <w:jc w:val="both"/>
        <w:rPr>
          <w:sz w:val="22"/>
          <w:szCs w:val="22"/>
        </w:rPr>
      </w:pPr>
      <w:r>
        <w:rPr>
          <w:sz w:val="22"/>
          <w:szCs w:val="22"/>
        </w:rPr>
        <w:t>where</w:t>
      </w:r>
      <w:r w:rsidR="00073E60" w:rsidRPr="001D75BE">
        <w:rPr>
          <w:sz w:val="22"/>
          <w:szCs w:val="22"/>
        </w:rPr>
        <w:t xml:space="preserve"> </w:t>
      </w:r>
      <w:r>
        <w:rPr>
          <w:sz w:val="22"/>
          <w:szCs w:val="22"/>
        </w:rPr>
        <w:t>T</w:t>
      </w:r>
      <w:r w:rsidRPr="00203D79">
        <w:rPr>
          <w:sz w:val="22"/>
          <w:szCs w:val="22"/>
          <w:vertAlign w:val="subscript"/>
        </w:rPr>
        <w:t>rt</w:t>
      </w:r>
      <w:r>
        <w:rPr>
          <w:sz w:val="22"/>
          <w:szCs w:val="22"/>
        </w:rPr>
        <w:t xml:space="preserve"> can be inferred from the broadcasting information.</w:t>
      </w:r>
    </w:p>
    <w:p w14:paraId="1472901C" w14:textId="3295AE64" w:rsidR="00203D79" w:rsidRDefault="00073E60" w:rsidP="00203D79">
      <w:pPr>
        <w:wordWrap/>
        <w:spacing w:before="60" w:after="60" w:line="288" w:lineRule="auto"/>
        <w:jc w:val="both"/>
        <w:rPr>
          <w:sz w:val="22"/>
          <w:szCs w:val="22"/>
        </w:rPr>
      </w:pPr>
      <w:r w:rsidRPr="001D75BE">
        <w:rPr>
          <w:b/>
          <w:i/>
          <w:sz w:val="22"/>
          <w:szCs w:val="22"/>
        </w:rPr>
        <w:t xml:space="preserve">Proposal </w:t>
      </w:r>
      <w:r w:rsidR="0078075E">
        <w:rPr>
          <w:b/>
          <w:i/>
          <w:sz w:val="22"/>
          <w:szCs w:val="22"/>
        </w:rPr>
        <w:t>1</w:t>
      </w:r>
      <w:r w:rsidRPr="001D75BE">
        <w:rPr>
          <w:sz w:val="22"/>
          <w:szCs w:val="22"/>
        </w:rPr>
        <w:t xml:space="preserve">: </w:t>
      </w:r>
      <w:r w:rsidR="00203D79">
        <w:rPr>
          <w:sz w:val="22"/>
          <w:szCs w:val="22"/>
        </w:rPr>
        <w:t>The range of K</w:t>
      </w:r>
      <w:r w:rsidR="00203D79" w:rsidRPr="008F78CB">
        <w:rPr>
          <w:sz w:val="22"/>
          <w:szCs w:val="22"/>
          <w:vertAlign w:val="subscript"/>
        </w:rPr>
        <w:t>offset</w:t>
      </w:r>
      <w:r w:rsidR="00203D79">
        <w:rPr>
          <w:sz w:val="22"/>
          <w:szCs w:val="22"/>
        </w:rPr>
        <w:t xml:space="preserve"> should depend on the maximum round trip propagation delay T</w:t>
      </w:r>
      <w:r w:rsidR="00203D79" w:rsidRPr="008F78CB">
        <w:rPr>
          <w:sz w:val="22"/>
          <w:szCs w:val="22"/>
          <w:vertAlign w:val="subscript"/>
        </w:rPr>
        <w:t>rt</w:t>
      </w:r>
      <w:r w:rsidR="00203D79">
        <w:rPr>
          <w:sz w:val="22"/>
          <w:szCs w:val="22"/>
        </w:rPr>
        <w:t xml:space="preserve"> and the maximum hop number L as</w:t>
      </w:r>
    </w:p>
    <w:p w14:paraId="0A0F440A" w14:textId="77777777" w:rsidR="00203D79" w:rsidRPr="001D75BE" w:rsidRDefault="00203D79" w:rsidP="00203D79">
      <w:pPr>
        <w:wordWrap/>
        <w:spacing w:before="60" w:after="60" w:line="288" w:lineRule="auto"/>
        <w:jc w:val="center"/>
        <w:rPr>
          <w:sz w:val="22"/>
          <w:szCs w:val="22"/>
        </w:rPr>
      </w:pPr>
      <w:r>
        <w:rPr>
          <w:sz w:val="22"/>
          <w:szCs w:val="22"/>
        </w:rPr>
        <w:t>Koffset ≥ L×T</w:t>
      </w:r>
      <w:r w:rsidRPr="00203D79">
        <w:rPr>
          <w:sz w:val="22"/>
          <w:szCs w:val="22"/>
          <w:vertAlign w:val="subscript"/>
        </w:rPr>
        <w:t>rt</w:t>
      </w:r>
    </w:p>
    <w:p w14:paraId="06B1DA26" w14:textId="77777777" w:rsidR="00073E60" w:rsidRPr="001D75BE" w:rsidRDefault="00203D79" w:rsidP="00203D79">
      <w:pPr>
        <w:wordWrap/>
        <w:spacing w:before="60" w:after="60" w:line="288" w:lineRule="auto"/>
        <w:jc w:val="both"/>
        <w:rPr>
          <w:sz w:val="22"/>
          <w:szCs w:val="22"/>
        </w:rPr>
      </w:pPr>
      <w:r>
        <w:rPr>
          <w:sz w:val="22"/>
          <w:szCs w:val="22"/>
        </w:rPr>
        <w:t>where</w:t>
      </w:r>
      <w:r w:rsidRPr="001D75BE">
        <w:rPr>
          <w:sz w:val="22"/>
          <w:szCs w:val="22"/>
        </w:rPr>
        <w:t xml:space="preserve"> </w:t>
      </w:r>
      <w:r>
        <w:rPr>
          <w:sz w:val="22"/>
          <w:szCs w:val="22"/>
        </w:rPr>
        <w:t>T</w:t>
      </w:r>
      <w:r w:rsidRPr="00203D79">
        <w:rPr>
          <w:sz w:val="22"/>
          <w:szCs w:val="22"/>
          <w:vertAlign w:val="subscript"/>
        </w:rPr>
        <w:t>rt</w:t>
      </w:r>
      <w:r>
        <w:rPr>
          <w:sz w:val="22"/>
          <w:szCs w:val="22"/>
        </w:rPr>
        <w:t xml:space="preserve"> can be inferred from the broadcasting information.</w:t>
      </w:r>
    </w:p>
    <w:p w14:paraId="700AA537"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63711EC6" w14:textId="77777777" w:rsidR="005E37A1" w:rsidRPr="001D75BE" w:rsidRDefault="005E37A1" w:rsidP="005E37A1">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203D79">
        <w:rPr>
          <w:rFonts w:eastAsia="Malgun Gothic"/>
          <w:color w:val="000000"/>
          <w:sz w:val="22"/>
          <w:szCs w:val="22"/>
        </w:rPr>
        <w:t>t</w:t>
      </w:r>
      <w:r w:rsidR="00203D79" w:rsidRPr="00203D79">
        <w:rPr>
          <w:rFonts w:eastAsia="Malgun Gothic"/>
          <w:color w:val="000000"/>
          <w:sz w:val="22"/>
          <w:szCs w:val="22"/>
        </w:rPr>
        <w:t xml:space="preserve">iming relationship enhancements </w:t>
      </w:r>
      <w:r w:rsidR="009265B2" w:rsidRPr="001D75BE">
        <w:rPr>
          <w:rFonts w:eastAsia="Malgun Gothic"/>
          <w:color w:val="000000"/>
          <w:sz w:val="22"/>
          <w:szCs w:val="22"/>
        </w:rPr>
        <w:t>for NTN</w:t>
      </w:r>
      <w:r w:rsidRPr="001D75BE">
        <w:rPr>
          <w:rFonts w:eastAsia="Malgun Gothic"/>
          <w:color w:val="000000"/>
          <w:sz w:val="22"/>
          <w:szCs w:val="22"/>
        </w:rPr>
        <w:t>. Our proposals are</w:t>
      </w:r>
      <w:r w:rsidR="00203D79">
        <w:rPr>
          <w:rFonts w:eastAsia="Malgun Gothic"/>
          <w:color w:val="000000"/>
          <w:sz w:val="22"/>
          <w:szCs w:val="22"/>
        </w:rPr>
        <w:t xml:space="preserve"> </w:t>
      </w:r>
      <w:r w:rsidRPr="001D75BE">
        <w:rPr>
          <w:rFonts w:eastAsia="Malgun Gothic"/>
          <w:color w:val="000000"/>
          <w:sz w:val="22"/>
          <w:szCs w:val="22"/>
        </w:rPr>
        <w:t xml:space="preserve">summarized </w:t>
      </w:r>
      <w:r w:rsidR="00203D79">
        <w:rPr>
          <w:rFonts w:eastAsia="Malgun Gothic"/>
          <w:color w:val="000000"/>
          <w:sz w:val="22"/>
          <w:szCs w:val="22"/>
        </w:rPr>
        <w:t xml:space="preserve">as </w:t>
      </w:r>
      <w:r w:rsidRPr="001D75BE">
        <w:rPr>
          <w:rFonts w:eastAsia="Malgun Gothic"/>
          <w:color w:val="000000"/>
          <w:sz w:val="22"/>
          <w:szCs w:val="22"/>
        </w:rPr>
        <w:t>below.</w:t>
      </w:r>
    </w:p>
    <w:p w14:paraId="425CB5B9" w14:textId="211ABD5B" w:rsidR="00203D79" w:rsidRDefault="00203D79" w:rsidP="00203D79">
      <w:pPr>
        <w:wordWrap/>
        <w:spacing w:before="60" w:after="60" w:line="288" w:lineRule="auto"/>
        <w:jc w:val="both"/>
        <w:rPr>
          <w:sz w:val="22"/>
          <w:szCs w:val="22"/>
        </w:rPr>
      </w:pPr>
      <w:r w:rsidRPr="001D75BE">
        <w:rPr>
          <w:b/>
          <w:i/>
          <w:sz w:val="22"/>
          <w:szCs w:val="22"/>
        </w:rPr>
        <w:t xml:space="preserve">Proposal </w:t>
      </w:r>
      <w:r w:rsidR="0078075E">
        <w:rPr>
          <w:b/>
          <w:i/>
          <w:sz w:val="22"/>
          <w:szCs w:val="22"/>
        </w:rPr>
        <w:t>1</w:t>
      </w:r>
      <w:r w:rsidRPr="001D75BE">
        <w:rPr>
          <w:sz w:val="22"/>
          <w:szCs w:val="22"/>
        </w:rPr>
        <w:t xml:space="preserve">: </w:t>
      </w:r>
      <w:r>
        <w:rPr>
          <w:sz w:val="22"/>
          <w:szCs w:val="22"/>
        </w:rPr>
        <w:t>The range of K</w:t>
      </w:r>
      <w:r w:rsidRPr="008F78CB">
        <w:rPr>
          <w:sz w:val="22"/>
          <w:szCs w:val="22"/>
          <w:vertAlign w:val="subscript"/>
        </w:rPr>
        <w:t>offset</w:t>
      </w:r>
      <w:r>
        <w:rPr>
          <w:sz w:val="22"/>
          <w:szCs w:val="22"/>
        </w:rPr>
        <w:t xml:space="preserve"> should depend on the maximum round trip propagation delay T</w:t>
      </w:r>
      <w:r w:rsidRPr="008F78CB">
        <w:rPr>
          <w:sz w:val="22"/>
          <w:szCs w:val="22"/>
          <w:vertAlign w:val="subscript"/>
        </w:rPr>
        <w:t>rt</w:t>
      </w:r>
      <w:r>
        <w:rPr>
          <w:sz w:val="22"/>
          <w:szCs w:val="22"/>
        </w:rPr>
        <w:t xml:space="preserve"> and the maximum hop number L as</w:t>
      </w:r>
    </w:p>
    <w:p w14:paraId="79B4431C" w14:textId="77777777" w:rsidR="00203D79" w:rsidRPr="001D75BE" w:rsidRDefault="00203D79" w:rsidP="00203D79">
      <w:pPr>
        <w:wordWrap/>
        <w:spacing w:before="60" w:after="60" w:line="288" w:lineRule="auto"/>
        <w:jc w:val="center"/>
        <w:rPr>
          <w:sz w:val="22"/>
          <w:szCs w:val="22"/>
        </w:rPr>
      </w:pPr>
      <w:r>
        <w:rPr>
          <w:sz w:val="22"/>
          <w:szCs w:val="22"/>
        </w:rPr>
        <w:t>Koffset ≥ L×T</w:t>
      </w:r>
      <w:r w:rsidRPr="00203D79">
        <w:rPr>
          <w:sz w:val="22"/>
          <w:szCs w:val="22"/>
          <w:vertAlign w:val="subscript"/>
        </w:rPr>
        <w:t>rt</w:t>
      </w:r>
    </w:p>
    <w:p w14:paraId="137F7F43" w14:textId="77777777" w:rsidR="00203D79" w:rsidRPr="001D75BE" w:rsidRDefault="00203D79" w:rsidP="00203D79">
      <w:pPr>
        <w:wordWrap/>
        <w:spacing w:before="60" w:after="60" w:line="288" w:lineRule="auto"/>
        <w:jc w:val="both"/>
        <w:rPr>
          <w:sz w:val="22"/>
          <w:szCs w:val="22"/>
        </w:rPr>
      </w:pPr>
      <w:r>
        <w:rPr>
          <w:sz w:val="22"/>
          <w:szCs w:val="22"/>
        </w:rPr>
        <w:t>where</w:t>
      </w:r>
      <w:r w:rsidRPr="001D75BE">
        <w:rPr>
          <w:sz w:val="22"/>
          <w:szCs w:val="22"/>
        </w:rPr>
        <w:t xml:space="preserve"> </w:t>
      </w:r>
      <w:r>
        <w:rPr>
          <w:sz w:val="22"/>
          <w:szCs w:val="22"/>
        </w:rPr>
        <w:t>T</w:t>
      </w:r>
      <w:r w:rsidRPr="00203D79">
        <w:rPr>
          <w:sz w:val="22"/>
          <w:szCs w:val="22"/>
          <w:vertAlign w:val="subscript"/>
        </w:rPr>
        <w:t>rt</w:t>
      </w:r>
      <w:r>
        <w:rPr>
          <w:sz w:val="22"/>
          <w:szCs w:val="22"/>
        </w:rPr>
        <w:t xml:space="preserve"> can be inferred from the broadcasting information.</w:t>
      </w:r>
    </w:p>
    <w:p w14:paraId="1D41EB02" w14:textId="77777777"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04E17203" w14:textId="77777777" w:rsidR="002A1A45" w:rsidRPr="001D75BE" w:rsidRDefault="00993B62" w:rsidP="00993B62">
      <w:pPr>
        <w:pStyle w:val="2222"/>
        <w:numPr>
          <w:ilvl w:val="0"/>
          <w:numId w:val="13"/>
        </w:numPr>
        <w:spacing w:after="120" w:line="288" w:lineRule="auto"/>
        <w:ind w:left="426" w:firstLineChars="0" w:hanging="426"/>
        <w:rPr>
          <w:rFonts w:eastAsia="MS Mincho"/>
          <w:bCs/>
          <w:sz w:val="22"/>
          <w:szCs w:val="22"/>
          <w:lang w:eastAsia="ja-JP"/>
        </w:rPr>
      </w:pPr>
      <w:r w:rsidRPr="001D75BE">
        <w:rPr>
          <w:rFonts w:eastAsia="MS Mincho"/>
          <w:bCs/>
          <w:sz w:val="22"/>
          <w:szCs w:val="22"/>
          <w:lang w:eastAsia="ja-JP"/>
        </w:rPr>
        <w:t>RP-193144, “Solutions for NR to support non-terrestrial networks (NTN)”.</w:t>
      </w: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9EA5D" w14:textId="77777777" w:rsidR="00C125BB" w:rsidRPr="00C47AD2" w:rsidRDefault="00C125BB">
      <w:pPr>
        <w:rPr>
          <w:rFonts w:ascii="Arial" w:hAnsi="Arial"/>
          <w:sz w:val="12"/>
        </w:rPr>
      </w:pPr>
      <w:r>
        <w:separator/>
      </w:r>
    </w:p>
  </w:endnote>
  <w:endnote w:type="continuationSeparator" w:id="0">
    <w:p w14:paraId="5772C8EE" w14:textId="77777777" w:rsidR="00C125BB" w:rsidRPr="00C47AD2" w:rsidRDefault="00C125B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0735B" w14:textId="77777777"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F6483F" w14:textId="77777777"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EA81E" w14:textId="77777777" w:rsidR="001514D4" w:rsidRDefault="001514D4">
    <w:pPr>
      <w:pStyle w:val="Footer"/>
    </w:pPr>
    <w:r>
      <w:fldChar w:fldCharType="begin"/>
    </w:r>
    <w:r>
      <w:instrText xml:space="preserve"> PAGE   \* MERGEFORMAT </w:instrText>
    </w:r>
    <w:r>
      <w:fldChar w:fldCharType="separate"/>
    </w:r>
    <w:r w:rsidR="00581405">
      <w:t>2</w:t>
    </w:r>
    <w:r>
      <w:fldChar w:fldCharType="end"/>
    </w:r>
  </w:p>
  <w:p w14:paraId="50E46AED" w14:textId="77777777"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B250B" w14:textId="77777777" w:rsidR="00C125BB" w:rsidRPr="00C47AD2" w:rsidRDefault="00C125BB">
      <w:pPr>
        <w:rPr>
          <w:rFonts w:ascii="Arial" w:hAnsi="Arial"/>
          <w:sz w:val="12"/>
        </w:rPr>
      </w:pPr>
      <w:r>
        <w:separator/>
      </w:r>
    </w:p>
  </w:footnote>
  <w:footnote w:type="continuationSeparator" w:id="0">
    <w:p w14:paraId="716B611F" w14:textId="77777777" w:rsidR="00C125BB" w:rsidRPr="00C47AD2" w:rsidRDefault="00C125B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B401EC"/>
    <w:multiLevelType w:val="hybridMultilevel"/>
    <w:tmpl w:val="E2B49B1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1"/>
  </w:num>
  <w:num w:numId="6">
    <w:abstractNumId w:val="38"/>
  </w:num>
  <w:num w:numId="7">
    <w:abstractNumId w:val="23"/>
  </w:num>
  <w:num w:numId="8">
    <w:abstractNumId w:val="19"/>
  </w:num>
  <w:num w:numId="9">
    <w:abstractNumId w:val="36"/>
  </w:num>
  <w:num w:numId="10">
    <w:abstractNumId w:val="2"/>
  </w:num>
  <w:num w:numId="11">
    <w:abstractNumId w:val="8"/>
  </w:num>
  <w:num w:numId="12">
    <w:abstractNumId w:val="37"/>
  </w:num>
  <w:num w:numId="13">
    <w:abstractNumId w:val="1"/>
  </w:num>
  <w:num w:numId="14">
    <w:abstractNumId w:val="17"/>
  </w:num>
  <w:num w:numId="15">
    <w:abstractNumId w:val="6"/>
  </w:num>
  <w:num w:numId="16">
    <w:abstractNumId w:val="29"/>
  </w:num>
  <w:num w:numId="17">
    <w:abstractNumId w:val="3"/>
  </w:num>
  <w:num w:numId="18">
    <w:abstractNumId w:val="24"/>
  </w:num>
  <w:num w:numId="19">
    <w:abstractNumId w:val="34"/>
  </w:num>
  <w:num w:numId="20">
    <w:abstractNumId w:val="10"/>
  </w:num>
  <w:num w:numId="21">
    <w:abstractNumId w:val="27"/>
  </w:num>
  <w:num w:numId="22">
    <w:abstractNumId w:val="5"/>
  </w:num>
  <w:num w:numId="23">
    <w:abstractNumId w:val="20"/>
  </w:num>
  <w:num w:numId="24">
    <w:abstractNumId w:val="28"/>
  </w:num>
  <w:num w:numId="25">
    <w:abstractNumId w:val="9"/>
  </w:num>
  <w:num w:numId="26">
    <w:abstractNumId w:val="16"/>
  </w:num>
  <w:num w:numId="27">
    <w:abstractNumId w:val="11"/>
  </w:num>
  <w:num w:numId="28">
    <w:abstractNumId w:val="30"/>
  </w:num>
  <w:num w:numId="29">
    <w:abstractNumId w:val="32"/>
  </w:num>
  <w:num w:numId="30">
    <w:abstractNumId w:val="18"/>
  </w:num>
  <w:num w:numId="31">
    <w:abstractNumId w:val="31"/>
  </w:num>
  <w:num w:numId="32">
    <w:abstractNumId w:val="22"/>
  </w:num>
  <w:num w:numId="33">
    <w:abstractNumId w:val="12"/>
  </w:num>
  <w:num w:numId="34">
    <w:abstractNumId w:val="33"/>
  </w:num>
  <w:num w:numId="35">
    <w:abstractNumId w:val="26"/>
  </w:num>
  <w:num w:numId="36">
    <w:abstractNumId w:val="25"/>
  </w:num>
  <w:num w:numId="37">
    <w:abstractNumId w:val="14"/>
  </w:num>
  <w:num w:numId="38">
    <w:abstractNumId w:val="4"/>
  </w:num>
  <w:num w:numId="3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65A5B-7E29-4871-AC08-019EEC167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402</Words>
  <Characters>2296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2020-08-07T08:02:00Z</dcterms:created>
  <dcterms:modified xsi:type="dcterms:W3CDTF">2020-08-07T08:02:00Z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